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rPr>
          <w:b/>
          <w:bCs/>
        </w:rPr>
        <w:t xml:space="preserve">Learning Objective</w:t>
      </w:r>
    </w:p>
    <w:p>
      <w:r>
        <w:t xml:space="preserve">Students will be able to represent and model the common fractions </w:t>
      </w:r>
      <w:r>
        <w:rPr>
          <w:rFonts w:ascii="Cambria Math" w:cs="Cambria Math" w:eastAsia="Cambria Math" w:hAnsi="Cambria Math"/>
          <w:sz w:val="22"/>
          <w:szCs w:val="22"/>
        </w:rPr>
        <w:t xml:space="preserve">\tfrac{1}{2}</w:t>
      </w:r>
      <w:r>
        <w:t xml:space="preserve">, </w:t>
      </w:r>
      <w:r>
        <w:rPr>
          <w:rFonts w:ascii="Cambria Math" w:cs="Cambria Math" w:eastAsia="Cambria Math" w:hAnsi="Cambria Math"/>
          <w:sz w:val="22"/>
          <w:szCs w:val="22"/>
        </w:rPr>
        <w:t xml:space="preserve">\tfrac{1}{3}</w:t>
      </w:r>
      <w:r>
        <w:t xml:space="preserve">, and </w:t>
      </w:r>
      <w:r>
        <w:rPr>
          <w:rFonts w:ascii="Cambria Math" w:cs="Cambria Math" w:eastAsia="Cambria Math" w:hAnsi="Cambria Math"/>
          <w:sz w:val="22"/>
          <w:szCs w:val="22"/>
        </w:rPr>
        <w:t xml:space="preserve">\tfrac{1}{4}</w:t>
      </w:r>
    </w:p>
    <w:p>
      <w:pPr>
        <w:pStyle w:val="Heading3"/>
      </w:pPr>
      <w:r>
        <w:rPr>
          <w:b/>
          <w:bCs/>
        </w:rPr>
        <w:t xml:space="preserve">Assessments</w:t>
      </w:r>
    </w:p>
    <w:p>
      <w:r>
        <w:t xml:space="preserve">Formative: Observe students during guided practice using a quick checklist (can/can’t represent </w:t>
      </w:r>
      <w:r>
        <w:rPr>
          <w:rFonts w:ascii="Cambria Math" w:cs="Cambria Math" w:eastAsia="Cambria Math" w:hAnsi="Cambria Math"/>
          <w:sz w:val="22"/>
          <w:szCs w:val="22"/>
        </w:rPr>
        <w:t xml:space="preserve">\tfrac{1}{2}</w:t>
      </w:r>
      <w:r>
        <w:t xml:space="preserve">, </w:t>
      </w:r>
      <w:r>
        <w:rPr>
          <w:rFonts w:ascii="Cambria Math" w:cs="Cambria Math" w:eastAsia="Cambria Math" w:hAnsi="Cambria Math"/>
          <w:sz w:val="22"/>
          <w:szCs w:val="22"/>
        </w:rPr>
        <w:t xml:space="preserve">\tfrac{1}{3}</w:t>
      </w:r>
      <w:r>
        <w:t xml:space="preserve">, </w:t>
      </w:r>
      <w:r>
        <w:rPr>
          <w:rFonts w:ascii="Cambria Math" w:cs="Cambria Math" w:eastAsia="Cambria Math" w:hAnsi="Cambria Math"/>
          <w:sz w:val="22"/>
          <w:szCs w:val="22"/>
        </w:rPr>
        <w:t xml:space="preserve">\tfrac{1}{4}</w:t>
      </w:r>
    </w:p>
    <w:p>
      <w:pPr>
        <w:pStyle w:val="ListParagraph"/>
        <w:numPr>
          <w:ilvl w:val="0"/>
          <w:numId w:val="2"/>
        </w:numPr>
      </w:pPr>
      <w:r>
        <w:t xml:space="preserve">Shade and label </w:t>
      </w:r>
      <w:r>
        <w:rPr>
          <w:rFonts w:ascii="Cambria Math" w:cs="Cambria Math" w:eastAsia="Cambria Math" w:hAnsi="Cambria Math"/>
          <w:sz w:val="22"/>
          <w:szCs w:val="22"/>
        </w:rPr>
        <w:t xml:space="preserve">\tfrac{1}{2}</w:t>
      </w:r>
      <w:r>
        <w:t xml:space="preserve">, </w:t>
      </w:r>
      <w:r>
        <w:rPr>
          <w:rFonts w:ascii="Cambria Math" w:cs="Cambria Math" w:eastAsia="Cambria Math" w:hAnsi="Cambria Math"/>
          <w:sz w:val="22"/>
          <w:szCs w:val="22"/>
        </w:rPr>
        <w:t xml:space="preserve">\tfrac{1}{3}</w:t>
      </w:r>
      <w:r>
        <w:t xml:space="preserve">, or </w:t>
      </w:r>
      <w:r>
        <w:rPr>
          <w:rFonts w:ascii="Cambria Math" w:cs="Cambria Math" w:eastAsia="Cambria Math" w:hAnsi="Cambria Math"/>
          <w:sz w:val="22"/>
          <w:szCs w:val="22"/>
        </w:rPr>
        <w:t xml:space="preserve">\tfrac{1}{4}</w:t>
      </w:r>
    </w:p>
    <w:p>
      <w:pPr>
        <w:pStyle w:val="ListParagraph"/>
        <w:numPr>
          <w:ilvl w:val="0"/>
          <w:numId w:val="2"/>
        </w:numPr>
      </w:pPr>
      <w:r>
        <w:t xml:space="preserve">Place a dot on a number line (0 to 1) to show where </w:t>
      </w:r>
      <w:r>
        <w:rPr>
          <w:rFonts w:ascii="Cambria Math" w:cs="Cambria Math" w:eastAsia="Cambria Math" w:hAnsi="Cambria Math"/>
          <w:sz w:val="22"/>
          <w:szCs w:val="22"/>
        </w:rPr>
        <w:t xml:space="preserve">\tfrac{1}{3}</w:t>
      </w:r>
    </w:p>
    <w:p>
      <w:pPr>
        <w:pStyle w:val="ListParagraph"/>
        <w:numPr>
          <w:ilvl w:val="0"/>
          <w:numId w:val="2"/>
        </w:numPr>
      </w:pPr>
      <w:r>
        <w:t xml:space="preserve">Compare </w:t>
      </w:r>
      <w:r>
        <w:rPr>
          <w:rFonts w:ascii="Cambria Math" w:cs="Cambria Math" w:eastAsia="Cambria Math" w:hAnsi="Cambria Math"/>
          <w:sz w:val="22"/>
          <w:szCs w:val="22"/>
        </w:rPr>
        <w:t xml:space="preserve">\tfrac{1}{2}</w:t>
      </w:r>
      <w:r>
        <w:t xml:space="preserve"> and </w:t>
      </w:r>
      <w:r>
        <w:rPr>
          <w:rFonts w:ascii="Cambria Math" w:cs="Cambria Math" w:eastAsia="Cambria Math" w:hAnsi="Cambria Math"/>
          <w:sz w:val="22"/>
          <w:szCs w:val="22"/>
        </w:rPr>
        <w:t xml:space="preserve">\tfrac{1}{4}</w:t>
      </w:r>
    </w:p>
    <w:p>
      <w:r>
        <w:t xml:space="preserve">Review this closely for accuracy, especially in math, as AI may have limitations.</w:t>
      </w:r>
    </w:p>
    <w:p>
      <w:pPr>
        <w:pStyle w:val="Heading3"/>
      </w:pPr>
      <w:r>
        <w:rPr>
          <w:b/>
          <w:bCs/>
        </w:rPr>
        <w:t xml:space="preserve">Key Points</w:t>
      </w:r>
    </w:p>
    <w:p>
      <w:pPr>
        <w:pStyle w:val="ListParagraph"/>
        <w:numPr>
          <w:ilvl w:val="0"/>
          <w:numId w:val="3"/>
        </w:numPr>
      </w:pPr>
      <w:r>
        <w:t xml:space="preserve">Fractions name equal parts of a whole: the denominator tells how many equal parts the whole is divided into, and the numerator tells how many of those parts are being considered.</w:t>
      </w:r>
    </w:p>
    <w:p>
      <w:pPr>
        <w:pStyle w:val="ListParagraph"/>
        <w:numPr>
          <w:ilvl w:val="0"/>
          <w:numId w:val="3"/>
        </w:numPr>
      </w:pPr>
      <w:r>
        <w:t xml:space="preserve">Visual representations (area models like shapes, set models like counters, and number lines) all show fractions in different but equivalent ways.</w:t>
      </w:r>
    </w:p>
    <w:p>
      <w:pPr>
        <w:pStyle w:val="ListParagraph"/>
        <w:numPr>
          <w:ilvl w:val="0"/>
          <w:numId w:val="3"/>
        </w:numPr>
      </w:pPr>
      <w:r>
        <w:t xml:space="preserve">Common fractions for this lesson: </w:t>
      </w:r>
      <w:r>
        <w:rPr>
          <w:rFonts w:ascii="Cambria Math" w:cs="Cambria Math" w:eastAsia="Cambria Math" w:hAnsi="Cambria Math"/>
          <w:sz w:val="22"/>
          <w:szCs w:val="22"/>
        </w:rPr>
        <w:t xml:space="preserve">\tfrac{1}{2}</w:t>
      </w:r>
      <w:r>
        <w:t xml:space="preserve"> (one of two equal parts), </w:t>
      </w:r>
      <w:r>
        <w:rPr>
          <w:rFonts w:ascii="Cambria Math" w:cs="Cambria Math" w:eastAsia="Cambria Math" w:hAnsi="Cambria Math"/>
          <w:sz w:val="22"/>
          <w:szCs w:val="22"/>
        </w:rPr>
        <w:t xml:space="preserve">\tfrac{1}{3}</w:t>
      </w:r>
      <w:r>
        <w:t xml:space="preserve"> (one of three equal parts), </w:t>
      </w:r>
      <w:r>
        <w:rPr>
          <w:rFonts w:ascii="Cambria Math" w:cs="Cambria Math" w:eastAsia="Cambria Math" w:hAnsi="Cambria Math"/>
          <w:sz w:val="22"/>
          <w:szCs w:val="22"/>
        </w:rPr>
        <w:t xml:space="preserve">\tfrac{1}{4}</w:t>
      </w:r>
    </w:p>
    <w:p>
      <w:pPr>
        <w:pStyle w:val="ListParagraph"/>
        <w:numPr>
          <w:ilvl w:val="0"/>
          <w:numId w:val="3"/>
        </w:numPr>
      </w:pPr>
      <w:r>
        <w:t xml:space="preserve">Comparing fractions using visuals: larger parts (fewer equal divisions for same-sized whole) generally mean larger fractional value; place fractions on a number line to compare magnitude.</w:t>
      </w:r>
    </w:p>
    <w:p>
      <w:pPr>
        <w:pStyle w:val="ListParagraph"/>
        <w:numPr>
          <w:ilvl w:val="0"/>
          <w:numId w:val="3"/>
        </w:numPr>
      </w:pPr>
      <w:r>
        <w:t xml:space="preserve">Use precise vocabulary: numerator, denominator, equal parts, whole, greater than, less than.</w:t>
      </w:r>
    </w:p>
    <w:p>
      <w:pPr>
        <w:pStyle w:val="Heading3"/>
      </w:pPr>
      <w:r>
        <w:rPr>
          <w:b/>
          <w:bCs/>
        </w:rPr>
        <w:t xml:space="preserve">Opening</w:t>
      </w:r>
    </w:p>
    <w:p>
      <w:pPr>
        <w:pStyle w:val="ListParagraph"/>
        <w:numPr>
          <w:ilvl w:val="0"/>
          <w:numId w:val="3"/>
        </w:numPr>
      </w:pPr>
      <w:r>
        <w:t xml:space="preserve">Hook (3 minutes): Show a large, real classroom cookie (or picture of a cookie) and ask: “If I share this cookie with one friend, how much does each person get? If I share it with two friends, what changes?” Invite quick student predictions and one-sentence reasons.</w:t>
      </w:r>
    </w:p>
    <w:p>
      <w:pPr>
        <w:pStyle w:val="ListParagraph"/>
        <w:numPr>
          <w:ilvl w:val="0"/>
          <w:numId w:val="3"/>
        </w:numPr>
      </w:pPr>
      <w:r>
        <w:t xml:space="preserve">Explain lesson purpose: “Today we will learn three common fractions—</w:t>
      </w:r>
      <w:r>
        <w:rPr>
          <w:rFonts w:ascii="Cambria Math" w:cs="Cambria Math" w:eastAsia="Cambria Math" w:hAnsi="Cambria Math"/>
          <w:sz w:val="22"/>
          <w:szCs w:val="22"/>
        </w:rPr>
        <w:t xml:space="preserve">\tfrac{1}{2}</w:t>
      </w:r>
      <w:r>
        <w:t xml:space="preserve">, </w:t>
      </w:r>
      <w:r>
        <w:rPr>
          <w:rFonts w:ascii="Cambria Math" w:cs="Cambria Math" w:eastAsia="Cambria Math" w:hAnsi="Cambria Math"/>
          <w:sz w:val="22"/>
          <w:szCs w:val="22"/>
        </w:rPr>
        <w:t xml:space="preserve">\tfrac{1}{3}</w:t>
      </w:r>
      <w:r>
        <w:t xml:space="preserve">, </w:t>
      </w:r>
      <w:r>
        <w:rPr>
          <w:rFonts w:ascii="Cambria Math" w:cs="Cambria Math" w:eastAsia="Cambria Math" w:hAnsi="Cambria Math"/>
          <w:sz w:val="22"/>
          <w:szCs w:val="22"/>
        </w:rPr>
        <w:t xml:space="preserve">\tfrac{1}{4}</w:t>
      </w:r>
    </w:p>
    <w:p>
      <w:pPr>
        <w:pStyle w:val="Heading3"/>
      </w:pPr>
      <w:r>
        <w:rPr>
          <w:b/>
          <w:bCs/>
        </w:rPr>
        <w:t xml:space="preserve">Introduction to New Material</w:t>
      </w:r>
    </w:p>
    <w:p>
      <w:pPr>
        <w:pStyle w:val="ListParagraph"/>
        <w:numPr>
          <w:ilvl w:val="0"/>
          <w:numId w:val="3"/>
        </w:numPr>
      </w:pPr>
      <w:r>
        <w:t xml:space="preserve">Concrete demonstration (6 minutes): Use physical manipulatives (paper circles divided, linking cubes, or fraction tiles).</w:t>
      </w:r>
    </w:p>
    <w:p>
      <w:pPr>
        <w:pStyle w:val="ListParagraph"/>
        <w:numPr>
          <w:ilvl w:val="1"/>
          <w:numId w:val="3"/>
        </w:numPr>
      </w:pPr>
      <w:r>
        <w:t xml:space="preserve">Show a whole circle. Fold or cut into 2 equal parts; label each part </w:t>
      </w:r>
      <w:r>
        <w:rPr>
          <w:rFonts w:ascii="Cambria Math" w:cs="Cambria Math" w:eastAsia="Cambria Math" w:hAnsi="Cambria Math"/>
          <w:sz w:val="22"/>
          <w:szCs w:val="22"/>
        </w:rPr>
        <w:t xml:space="preserve">\tfrac{1}{2}</w:t>
      </w:r>
      <w:r>
        <w:t xml:space="preserve">. Repeat with 3 equal parts for </w:t>
      </w:r>
      <w:r>
        <w:rPr>
          <w:rFonts w:ascii="Cambria Math" w:cs="Cambria Math" w:eastAsia="Cambria Math" w:hAnsi="Cambria Math"/>
          <w:sz w:val="22"/>
          <w:szCs w:val="22"/>
        </w:rPr>
        <w:t xml:space="preserve">\tfrac{1}{3}</w:t>
      </w:r>
      <w:r>
        <w:t xml:space="preserve"> and 4 equal parts for </w:t>
      </w:r>
      <w:r>
        <w:rPr>
          <w:rFonts w:ascii="Cambria Math" w:cs="Cambria Math" w:eastAsia="Cambria Math" w:hAnsi="Cambria Math"/>
          <w:sz w:val="22"/>
          <w:szCs w:val="22"/>
        </w:rPr>
        <w:t xml:space="preserve">\tfrac{1}{4}</w:t>
      </w:r>
    </w:p>
    <w:p>
      <w:pPr>
        <w:pStyle w:val="ListParagraph"/>
        <w:numPr>
          <w:ilvl w:val="1"/>
          <w:numId w:val="3"/>
        </w:numPr>
      </w:pPr>
      <w:r>
        <w:t xml:space="preserve">For each, point out numerator (how many parts shaded) and denominator (how many equal parts total) using clear gestures and labeling.</w:t>
      </w:r>
    </w:p>
    <w:p>
      <w:pPr>
        <w:pStyle w:val="ListParagraph"/>
        <w:numPr>
          <w:ilvl w:val="0"/>
          <w:numId w:val="3"/>
        </w:numPr>
      </w:pPr>
      <w:r>
        <w:t xml:space="preserve">Number-line connection (4 minutes): Draw a large number line from 0 to 1 on the board. Mark and label where </w:t>
      </w:r>
      <w:r>
        <w:rPr>
          <w:rFonts w:ascii="Cambria Math" w:cs="Cambria Math" w:eastAsia="Cambria Math" w:hAnsi="Cambria Math"/>
          <w:sz w:val="22"/>
          <w:szCs w:val="22"/>
        </w:rPr>
        <w:t xml:space="preserve">\tfrac{1}{2}</w:t>
      </w:r>
      <w:r>
        <w:t xml:space="preserve"> is (middle), partition the line into three equal segments to show </w:t>
      </w:r>
      <w:r>
        <w:rPr>
          <w:rFonts w:ascii="Cambria Math" w:cs="Cambria Math" w:eastAsia="Cambria Math" w:hAnsi="Cambria Math"/>
          <w:sz w:val="22"/>
          <w:szCs w:val="22"/>
        </w:rPr>
        <w:t xml:space="preserve">\tfrac{1}{3}</w:t>
      </w:r>
      <w:r>
        <w:t xml:space="preserve">, and into four equal segments to show </w:t>
      </w:r>
      <w:r>
        <w:rPr>
          <w:rFonts w:ascii="Cambria Math" w:cs="Cambria Math" w:eastAsia="Cambria Math" w:hAnsi="Cambria Math"/>
          <w:sz w:val="22"/>
          <w:szCs w:val="22"/>
        </w:rPr>
        <w:t xml:space="preserve">\tfrac{1}{4}</w:t>
      </w:r>
    </w:p>
    <w:p>
      <w:pPr>
        <w:pStyle w:val="ListParagraph"/>
        <w:numPr>
          <w:ilvl w:val="0"/>
          <w:numId w:val="3"/>
        </w:numPr>
      </w:pPr>
      <w:r>
        <w:t xml:space="preserve">Multiple representations (2 minutes): Show same fraction as a shape (area), a set (e.g., 6 counters where </w:t>
      </w:r>
      <w:r>
        <w:rPr>
          <w:rFonts w:ascii="Cambria Math" w:cs="Cambria Math" w:eastAsia="Cambria Math" w:hAnsi="Cambria Math"/>
          <w:sz w:val="22"/>
          <w:szCs w:val="22"/>
        </w:rPr>
        <w:t xml:space="preserve">\tfrac{1}{3}</w:t>
      </w:r>
    </w:p>
    <w:p>
      <w:pPr>
        <w:pStyle w:val="ListParagraph"/>
        <w:numPr>
          <w:ilvl w:val="0"/>
          <w:numId w:val="3"/>
        </w:numPr>
      </w:pPr>
      <w:r>
        <w:t xml:space="preserve">Anticipated misconception: Students may think a larger denominator always means a larger fraction (e.g., thinking </w:t>
      </w:r>
      <w:r>
        <w:rPr>
          <w:rFonts w:ascii="Cambria Math" w:cs="Cambria Math" w:eastAsia="Cambria Math" w:hAnsi="Cambria Math"/>
          <w:sz w:val="22"/>
          <w:szCs w:val="22"/>
        </w:rPr>
        <w:t xml:space="preserve">\tfrac{1}{4}</w:t>
      </w:r>
      <w:r>
        <w:t xml:space="preserve"> &gt; </w:t>
      </w:r>
      <w:r>
        <w:rPr>
          <w:rFonts w:ascii="Cambria Math" w:cs="Cambria Math" w:eastAsia="Cambria Math" w:hAnsi="Cambria Math"/>
          <w:sz w:val="22"/>
          <w:szCs w:val="22"/>
        </w:rPr>
        <w:t xml:space="preserve">\tfrac{1}{3}</w:t>
      </w:r>
    </w:p>
    <w:p>
      <w:pPr>
        <w:pStyle w:val="Heading3"/>
      </w:pPr>
      <w:r>
        <w:rPr>
          <w:b/>
          <w:bCs/>
        </w:rPr>
        <w:t xml:space="preserve">Guided Practice</w:t>
      </w:r>
    </w:p>
    <w:p>
      <w:pPr>
        <w:pStyle w:val="ListParagraph"/>
        <w:numPr>
          <w:ilvl w:val="0"/>
          <w:numId w:val="3"/>
        </w:numPr>
      </w:pPr>
      <w:r>
        <w:t xml:space="preserve">Behavioral expectations: Work with a partner; use whisper voices; take turns handling manipulatives; show respect for materials and peers; raise hand for teacher support.</w:t>
      </w:r>
    </w:p>
    <w:p>
      <w:pPr>
        <w:pStyle w:val="ListParagraph"/>
        <w:numPr>
          <w:ilvl w:val="0"/>
          <w:numId w:val="3"/>
        </w:numPr>
      </w:pPr>
      <w:r>
        <w:t xml:space="preserve">Activity sequence (15 minutes total):</w:t>
      </w:r>
    </w:p>
    <w:p>
      <w:pPr>
        <w:pStyle w:val="ListParagraph"/>
        <w:numPr>
          <w:ilvl w:val="1"/>
          <w:numId w:val="2"/>
        </w:numPr>
      </w:pPr>
      <w:r>
        <w:t xml:space="preserve">Partner Task A (7 minutes): Provide each pair with fraction tiles or paper shapes and a small number line strip. Prompt scaffolded tasks:</w:t>
      </w:r>
    </w:p>
    <w:p>
      <w:pPr>
        <w:pStyle w:val="ListParagraph"/>
        <w:numPr>
          <w:ilvl w:val="2"/>
          <w:numId w:val="3"/>
        </w:numPr>
      </w:pPr>
      <w:r>
        <w:t xml:space="preserve">Step 1 (easier): “Make </w:t>
      </w:r>
      <w:r>
        <w:rPr>
          <w:rFonts w:ascii="Cambria Math" w:cs="Cambria Math" w:eastAsia="Cambria Math" w:hAnsi="Cambria Math"/>
          <w:sz w:val="22"/>
          <w:szCs w:val="22"/>
        </w:rPr>
        <w:t xml:space="preserve">\tfrac{1}{2}</w:t>
      </w:r>
      <w:r>
        <w:t xml:space="preserve"> and </w:t>
      </w:r>
      <w:r>
        <w:rPr>
          <w:rFonts w:ascii="Cambria Math" w:cs="Cambria Math" w:eastAsia="Cambria Math" w:hAnsi="Cambria Math"/>
          <w:sz w:val="22"/>
          <w:szCs w:val="22"/>
        </w:rPr>
        <w:t xml:space="preserve">\tfrac{1}{4}</w:t>
      </w:r>
    </w:p>
    <w:p>
      <w:pPr>
        <w:pStyle w:val="ListParagraph"/>
        <w:numPr>
          <w:ilvl w:val="2"/>
          <w:numId w:val="3"/>
        </w:numPr>
      </w:pPr>
      <w:r>
        <w:t xml:space="preserve">Step 2 (medium): “Show </w:t>
      </w:r>
      <w:r>
        <w:rPr>
          <w:rFonts w:ascii="Cambria Math" w:cs="Cambria Math" w:eastAsia="Cambria Math" w:hAnsi="Cambria Math"/>
          <w:sz w:val="22"/>
          <w:szCs w:val="22"/>
        </w:rPr>
        <w:t xml:space="preserve">\tfrac{1}{3}</w:t>
      </w:r>
      <w:r>
        <w:t xml:space="preserve"> as a set of 6 counters and as a shape. Place </w:t>
      </w:r>
      <w:r>
        <w:rPr>
          <w:rFonts w:ascii="Cambria Math" w:cs="Cambria Math" w:eastAsia="Cambria Math" w:hAnsi="Cambria Math"/>
          <w:sz w:val="22"/>
          <w:szCs w:val="22"/>
        </w:rPr>
        <w:t xml:space="preserve">\tfrac{1}{3}</w:t>
      </w:r>
      <w:r>
        <w:t xml:space="preserve"> on your number line. Compare </w:t>
      </w:r>
      <w:r>
        <w:rPr>
          <w:rFonts w:ascii="Cambria Math" w:cs="Cambria Math" w:eastAsia="Cambria Math" w:hAnsi="Cambria Math"/>
          <w:sz w:val="22"/>
          <w:szCs w:val="22"/>
        </w:rPr>
        <w:t xml:space="preserve">\tfrac{1}{3}</w:t>
      </w:r>
      <w:r>
        <w:t xml:space="preserve"> and </w:t>
      </w:r>
      <w:r>
        <w:rPr>
          <w:rFonts w:ascii="Cambria Math" w:cs="Cambria Math" w:eastAsia="Cambria Math" w:hAnsi="Cambria Math"/>
          <w:sz w:val="22"/>
          <w:szCs w:val="22"/>
        </w:rPr>
        <w:t xml:space="preserve">\tfrac{1}{4}</w:t>
      </w:r>
    </w:p>
    <w:p>
      <w:pPr>
        <w:pStyle w:val="ListParagraph"/>
        <w:numPr>
          <w:ilvl w:val="2"/>
          <w:numId w:val="3"/>
        </w:numPr>
      </w:pPr>
      <w:r>
        <w:t xml:space="preserve">Step 3 (challenge): “If we shade 2 out of 4 parts and 1 out of 2 parts, which is larger? Use a drawing or number line to show your thinking.”</w:t>
      </w:r>
    </w:p>
    <w:p>
      <w:pPr>
        <w:pStyle w:val="ListParagraph"/>
        <w:numPr>
          <w:ilvl w:val="1"/>
          <w:numId w:val="2"/>
        </w:numPr>
      </w:pPr>
      <w:r>
        <w:t xml:space="preserve">Teacher monitoring: Use a quick checklist for each pair noting: correct representation of fraction, number line placement, use of vocabulary, correct comparison and explanation. Ask probing questions to groups needing support (e.g., “How do you know those parts are equal?” “What does the denominator tell us?”).</w:t>
      </w:r>
    </w:p>
    <w:p>
      <w:pPr>
        <w:pStyle w:val="ListParagraph"/>
        <w:numPr>
          <w:ilvl w:val="1"/>
          <w:numId w:val="2"/>
        </w:numPr>
      </w:pPr>
      <w:r>
        <w:t xml:space="preserve">Whole-class share (3 minutes): Invite 2–3 pairs to show their model and explanation quickly; highlight correct use of vocabulary and correct comparisons. Correct common misconception if heard.</w:t>
      </w:r>
    </w:p>
    <w:p>
      <w:pPr>
        <w:pStyle w:val="Heading3"/>
      </w:pPr>
      <w:r>
        <w:rPr>
          <w:b/>
          <w:bCs/>
        </w:rPr>
        <w:t xml:space="preserve">Independent Practice</w:t>
      </w:r>
    </w:p>
    <w:p>
      <w:pPr>
        <w:pStyle w:val="ListParagraph"/>
        <w:numPr>
          <w:ilvl w:val="0"/>
          <w:numId w:val="3"/>
        </w:numPr>
      </w:pPr>
      <w:r>
        <w:t xml:space="preserve">Behavioral expectations: Work quietly at your desk; show work clearly; draw or use paper manipulatives as needed; if stuck, raise hand.</w:t>
      </w:r>
    </w:p>
    <w:p>
      <w:pPr>
        <w:pStyle w:val="ListParagraph"/>
        <w:numPr>
          <w:ilvl w:val="0"/>
          <w:numId w:val="3"/>
        </w:numPr>
      </w:pPr>
      <w:r>
        <w:t xml:space="preserve">Assignment (8 minutes in class; takes remaining time before exit ticket):</w:t>
      </w:r>
    </w:p>
    <w:p>
      <w:pPr>
        <w:pStyle w:val="ListParagraph"/>
        <w:numPr>
          <w:ilvl w:val="1"/>
          <w:numId w:val="3"/>
        </w:numPr>
      </w:pPr>
      <w:r>
        <w:t xml:space="preserve">Worksheet (teacher-prepared) with 4 short tasks:</w:t>
      </w:r>
    </w:p>
    <w:p>
      <w:pPr>
        <w:pStyle w:val="ListParagraph"/>
        <w:numPr>
          <w:ilvl w:val="2"/>
          <w:numId w:val="2"/>
        </w:numPr>
      </w:pPr>
      <w:r>
        <w:t xml:space="preserve">Shade the shown shapes: a circle divided into 2 parts (shade </w:t>
      </w:r>
      <w:r>
        <w:rPr>
          <w:rFonts w:ascii="Cambria Math" w:cs="Cambria Math" w:eastAsia="Cambria Math" w:hAnsi="Cambria Math"/>
          <w:sz w:val="22"/>
          <w:szCs w:val="22"/>
        </w:rPr>
        <w:t xml:space="preserve">\tfrac{1}{2}</w:t>
      </w:r>
      <w:r>
        <w:t xml:space="preserve">), a rectangle divided into 4 parts (shade </w:t>
      </w:r>
      <w:r>
        <w:rPr>
          <w:rFonts w:ascii="Cambria Math" w:cs="Cambria Math" w:eastAsia="Cambria Math" w:hAnsi="Cambria Math"/>
          <w:sz w:val="22"/>
          <w:szCs w:val="22"/>
        </w:rPr>
        <w:t xml:space="preserve">\tfrac{1}{4}</w:t>
      </w:r>
      <w:r>
        <w:t xml:space="preserve">), and a set of 9 counters (circle 3 counters to show </w:t>
      </w:r>
      <w:r>
        <w:rPr>
          <w:rFonts w:ascii="Cambria Math" w:cs="Cambria Math" w:eastAsia="Cambria Math" w:hAnsi="Cambria Math"/>
          <w:sz w:val="22"/>
          <w:szCs w:val="22"/>
        </w:rPr>
        <w:t xml:space="preserve">\tfrac{1}{3}</w:t>
      </w:r>
    </w:p>
    <w:p>
      <w:pPr>
        <w:pStyle w:val="ListParagraph"/>
        <w:numPr>
          <w:ilvl w:val="2"/>
          <w:numId w:val="2"/>
        </w:numPr>
      </w:pPr>
      <w:r>
        <w:t xml:space="preserve">A blank number line from 0 to 1 with tick marks; students place dots and label positions for </w:t>
      </w:r>
      <w:r>
        <w:rPr>
          <w:rFonts w:ascii="Cambria Math" w:cs="Cambria Math" w:eastAsia="Cambria Math" w:hAnsi="Cambria Math"/>
          <w:sz w:val="22"/>
          <w:szCs w:val="22"/>
        </w:rPr>
        <w:t xml:space="preserve">\tfrac{1}{2}</w:t>
      </w:r>
      <w:r>
        <w:t xml:space="preserve">, </w:t>
      </w:r>
      <w:r>
        <w:rPr>
          <w:rFonts w:ascii="Cambria Math" w:cs="Cambria Math" w:eastAsia="Cambria Math" w:hAnsi="Cambria Math"/>
          <w:sz w:val="22"/>
          <w:szCs w:val="22"/>
        </w:rPr>
        <w:t xml:space="preserve">\tfrac{1}{3}</w:t>
      </w:r>
      <w:r>
        <w:t xml:space="preserve">, and </w:t>
      </w:r>
      <w:r>
        <w:rPr>
          <w:rFonts w:ascii="Cambria Math" w:cs="Cambria Math" w:eastAsia="Cambria Math" w:hAnsi="Cambria Math"/>
          <w:sz w:val="22"/>
          <w:szCs w:val="22"/>
        </w:rPr>
        <w:t xml:space="preserve">\tfrac{1}{4}</w:t>
      </w:r>
    </w:p>
    <w:p>
      <w:pPr>
        <w:pStyle w:val="ListParagraph"/>
        <w:numPr>
          <w:ilvl w:val="2"/>
          <w:numId w:val="2"/>
        </w:numPr>
      </w:pPr>
      <w:r>
        <w:t xml:space="preserve">Two mini comparison problems (draw or circle answer): Which is greater, </w:t>
      </w:r>
      <w:r>
        <w:rPr>
          <w:rFonts w:ascii="Cambria Math" w:cs="Cambria Math" w:eastAsia="Cambria Math" w:hAnsi="Cambria Math"/>
          <w:sz w:val="22"/>
          <w:szCs w:val="22"/>
        </w:rPr>
        <w:t xml:space="preserve">\tfrac{1}{2}</w:t>
      </w:r>
      <w:r>
        <w:t xml:space="preserve"> or </w:t>
      </w:r>
      <w:r>
        <w:rPr>
          <w:rFonts w:ascii="Cambria Math" w:cs="Cambria Math" w:eastAsia="Cambria Math" w:hAnsi="Cambria Math"/>
          <w:sz w:val="22"/>
          <w:szCs w:val="22"/>
        </w:rPr>
        <w:t xml:space="preserve">\tfrac{1}{3}</w:t>
      </w:r>
      <w:r>
        <w:t xml:space="preserve">? Which is greater, </w:t>
      </w:r>
      <w:r>
        <w:rPr>
          <w:rFonts w:ascii="Cambria Math" w:cs="Cambria Math" w:eastAsia="Cambria Math" w:hAnsi="Cambria Math"/>
          <w:sz w:val="22"/>
          <w:szCs w:val="22"/>
        </w:rPr>
        <w:t xml:space="preserve">\tfrac{1}{3}</w:t>
      </w:r>
      <w:r>
        <w:t xml:space="preserve"> or </w:t>
      </w:r>
      <w:r>
        <w:rPr>
          <w:rFonts w:ascii="Cambria Math" w:cs="Cambria Math" w:eastAsia="Cambria Math" w:hAnsi="Cambria Math"/>
          <w:sz w:val="22"/>
          <w:szCs w:val="22"/>
        </w:rPr>
        <w:t xml:space="preserve">\tfrac{1}{4}</w:t>
      </w:r>
    </w:p>
    <w:p>
      <w:pPr>
        <w:pStyle w:val="ListParagraph"/>
        <w:numPr>
          <w:ilvl w:val="2"/>
          <w:numId w:val="2"/>
        </w:numPr>
      </w:pPr>
      <w:r>
        <w:t xml:space="preserve">Challenge: Draw a shape divided into 4 equal parts and shade two of them. Write the fraction shown and explain whether it is more or less than </w:t>
      </w:r>
      <w:r>
        <w:rPr>
          <w:rFonts w:ascii="Cambria Math" w:cs="Cambria Math" w:eastAsia="Cambria Math" w:hAnsi="Cambria Math"/>
          <w:sz w:val="22"/>
          <w:szCs w:val="22"/>
        </w:rPr>
        <w:t xml:space="preserve">\tfrac{1}{2}</w:t>
      </w:r>
    </w:p>
    <w:p>
      <w:pPr>
        <w:pStyle w:val="ListParagraph"/>
        <w:numPr>
          <w:ilvl w:val="1"/>
          <w:numId w:val="3"/>
        </w:numPr>
      </w:pPr>
      <w:r>
        <w:t xml:space="preserve">Teacher collects worksheet for review and uses exit ticket results to measure mastery.</w:t>
      </w:r>
    </w:p>
    <w:p>
      <w:pPr>
        <w:pStyle w:val="Heading3"/>
      </w:pPr>
      <w:r>
        <w:rPr>
          <w:b/>
          <w:bCs/>
        </w:rPr>
        <w:t xml:space="preserve">Closing</w:t>
      </w:r>
    </w:p>
    <w:p>
      <w:pPr>
        <w:pStyle w:val="ListParagraph"/>
        <w:numPr>
          <w:ilvl w:val="0"/>
          <w:numId w:val="3"/>
        </w:numPr>
      </w:pPr>
      <w:r>
        <w:t xml:space="preserve">Quick summary activity (2 minutes): “Turn-and-talk” — students turn to a neighbor and in one sentence say: “A denominator is _____, a numerator is _____, and today I learned that </w:t>
      </w:r>
      <w:r>
        <w:rPr>
          <w:rFonts w:ascii="Cambria Math" w:cs="Cambria Math" w:eastAsia="Cambria Math" w:hAnsi="Cambria Math"/>
          <w:sz w:val="22"/>
          <w:szCs w:val="22"/>
        </w:rPr>
        <w:t xml:space="preserve">\tfrac{1}{3}</w:t>
      </w:r>
      <w:r>
        <w:t xml:space="preserve"> is ______ than </w:t>
      </w:r>
      <w:r>
        <w:rPr>
          <w:rFonts w:ascii="Cambria Math" w:cs="Cambria Math" w:eastAsia="Cambria Math" w:hAnsi="Cambria Math"/>
          <w:sz w:val="22"/>
          <w:szCs w:val="22"/>
        </w:rPr>
        <w:t xml:space="preserve">\tfrac{1}{4}</w:t>
      </w:r>
    </w:p>
    <w:p>
      <w:pPr>
        <w:pStyle w:val="Heading3"/>
      </w:pPr>
      <w:r>
        <w:rPr>
          <w:b/>
          <w:bCs/>
        </w:rPr>
        <w:t xml:space="preserve">Extension Activity</w:t>
      </w:r>
    </w:p>
    <w:p>
      <w:pPr>
        <w:pStyle w:val="ListParagraph"/>
        <w:numPr>
          <w:ilvl w:val="0"/>
          <w:numId w:val="3"/>
        </w:numPr>
      </w:pPr>
      <w:r>
        <w:t xml:space="preserve">For early finishers: Fraction matching challenge. Provide cards with visual fractions (shaded shapes), set fractions (e.g., 2 of 6), and number-line positions. Students match three representations that show the same fraction (e.g., </w:t>
      </w:r>
      <w:r>
        <w:rPr>
          <w:rFonts w:ascii="Cambria Math" w:cs="Cambria Math" w:eastAsia="Cambria Math" w:hAnsi="Cambria Math"/>
          <w:sz w:val="22"/>
          <w:szCs w:val="22"/>
        </w:rPr>
        <w:t xml:space="preserve">\tfrac{1}{3}</w:t>
      </w:r>
    </w:p>
    <w:p>
      <w:pPr>
        <w:pStyle w:val="Heading3"/>
      </w:pPr>
      <w:r>
        <w:rPr>
          <w:b/>
          <w:bCs/>
        </w:rPr>
        <w:t xml:space="preserve">Homework</w:t>
      </w:r>
    </w:p>
    <w:p>
      <w:pPr>
        <w:pStyle w:val="ListParagraph"/>
        <w:numPr>
          <w:ilvl w:val="0"/>
          <w:numId w:val="3"/>
        </w:numPr>
      </w:pPr>
      <w:r>
        <w:t xml:space="preserve">Home practice (take-home sheet): Three problems</w:t>
      </w:r>
    </w:p>
    <w:p>
      <w:pPr>
        <w:pStyle w:val="ListParagraph"/>
        <w:numPr>
          <w:ilvl w:val="1"/>
          <w:numId w:val="2"/>
        </w:numPr>
      </w:pPr>
      <w:r>
        <w:t xml:space="preserve">Draw and shade </w:t>
      </w:r>
      <w:r>
        <w:rPr>
          <w:rFonts w:ascii="Cambria Math" w:cs="Cambria Math" w:eastAsia="Cambria Math" w:hAnsi="Cambria Math"/>
          <w:sz w:val="22"/>
          <w:szCs w:val="22"/>
        </w:rPr>
        <w:t xml:space="preserve">\tfrac{1}{2}</w:t>
      </w:r>
    </w:p>
    <w:p>
      <w:pPr>
        <w:pStyle w:val="ListParagraph"/>
        <w:numPr>
          <w:ilvl w:val="1"/>
          <w:numId w:val="2"/>
        </w:numPr>
      </w:pPr>
      <w:r>
        <w:t xml:space="preserve">Draw a number line from 0 to 1 and mark </w:t>
      </w:r>
      <w:r>
        <w:rPr>
          <w:rFonts w:ascii="Cambria Math" w:cs="Cambria Math" w:eastAsia="Cambria Math" w:hAnsi="Cambria Math"/>
          <w:sz w:val="22"/>
          <w:szCs w:val="22"/>
        </w:rPr>
        <w:t xml:space="preserve">\tfrac{1}{4}</w:t>
      </w:r>
      <w:r>
        <w:t xml:space="preserve"> and </w:t>
      </w:r>
      <w:r>
        <w:rPr>
          <w:rFonts w:ascii="Cambria Math" w:cs="Cambria Math" w:eastAsia="Cambria Math" w:hAnsi="Cambria Math"/>
          <w:sz w:val="22"/>
          <w:szCs w:val="22"/>
        </w:rPr>
        <w:t xml:space="preserve">\tfrac{1}{2}</w:t>
      </w:r>
    </w:p>
    <w:p>
      <w:pPr>
        <w:pStyle w:val="ListParagraph"/>
        <w:numPr>
          <w:ilvl w:val="1"/>
          <w:numId w:val="2"/>
        </w:numPr>
      </w:pPr>
      <w:r>
        <w:t xml:space="preserve">Real-life connection: Find something at home you could divide into fourths (a folded paper, a pizza picture, etc.). Draw it and label </w:t>
      </w:r>
      <w:r>
        <w:rPr>
          <w:rFonts w:ascii="Cambria Math" w:cs="Cambria Math" w:eastAsia="Cambria Math" w:hAnsi="Cambria Math"/>
          <w:sz w:val="22"/>
          <w:szCs w:val="22"/>
        </w:rPr>
        <w:t xml:space="preserve">\tfrac{1}{4}</w:t>
      </w:r>
      <w:r>
        <w:t xml:space="preserve">. Write one sentence: “I could use </w:t>
      </w:r>
      <w:r>
        <w:rPr>
          <w:rFonts w:ascii="Cambria Math" w:cs="Cambria Math" w:eastAsia="Cambria Math" w:hAnsi="Cambria Math"/>
          <w:sz w:val="22"/>
          <w:szCs w:val="22"/>
        </w:rPr>
        <w:t xml:space="preserve">\tfrac{1}{4}</w:t>
      </w:r>
    </w:p>
    <w:p>
      <w:pPr>
        <w:pStyle w:val="ListParagraph"/>
        <w:numPr>
          <w:ilvl w:val="0"/>
          <w:numId w:val="3"/>
        </w:numPr>
      </w:pPr>
      <w:r>
        <w:t xml:space="preserve">Suggest parents/guardians talk with child about sharing items (e.g., cutting fruit, dividing a sandwich) to reinforce real-world fraction meaning.</w:t>
      </w:r>
    </w:p>
    <w:p>
      <w:pPr>
        <w:pStyle w:val="Heading3"/>
      </w:pPr>
      <w:r>
        <w:rPr>
          <w:b/>
          <w:bCs/>
        </w:rPr>
        <w:t xml:space="preserve">Standards Aligned</w:t>
      </w:r>
    </w:p>
    <w:p>
      <w:pPr>
        <w:pStyle w:val="ListParagraph"/>
        <w:numPr>
          <w:ilvl w:val="0"/>
          <w:numId w:val="3"/>
        </w:numPr>
      </w:pPr>
      <w:r>
        <w:t xml:space="preserve">BC Curriculum: Mathematics Grade 3 — Big Idea: Fractions are a type of number that can represent quantities.</w:t>
      </w:r>
    </w:p>
    <w:p>
      <w:pPr>
        <w:pStyle w:val="ListParagraph"/>
        <w:numPr>
          <w:ilvl w:val="0"/>
          <w:numId w:val="3"/>
        </w:numPr>
      </w:pPr>
      <w:r>
        <w:t xml:space="preserve">BC Curriculum: Curricular Competency — Represent fractions using concrete materials, model fractions using drawings and number lines, and compare simple fractions (½, ⅓, ¼) using visual models.</w:t>
      </w:r>
    </w:p>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
    <w:family w:val="auto"/>
    <w:pitch w:val="variable"/>
    <w:sig w:usb0="E0002AFF" w:usb1="C000247B" w:usb2="00000009" w:usb3="00000000" w:csb0="000001FF" w:csb1="00000000"/>
    <w:embedRegular r:id="rId1" w:fontKey="{1e6a466c-a369-37f1-fda5-14caa9299fc3}"/>
  </w:font>
  <w:font w:name="GeistMono">
    <w:family w:val="auto"/>
    <w:pitch w:val="variable"/>
    <w:sig w:usb0="E0002AFF" w:usb1="C000247B" w:usb2="00000009" w:usb3="00000000" w:csb0="000001FF" w:csb1="00000000"/>
    <w:embedRegular r:id="rId2" w:fontKey="{2b4ffae3-df59-3ea3-ae93-d3c200636d2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360" w:hanging="360"/>
      </w:pPr>
    </w:lvl>
    <w:lvl w:ilvl="1" w15:tentative="1">
      <w:start w:val="1"/>
      <w:numFmt w:val="decimal"/>
      <w:lvlText w:val="%2."/>
      <w:lvlJc w:val="left"/>
      <w:pPr>
        <w:ind w:left="720" w:hanging="360"/>
      </w:pPr>
    </w:lvl>
    <w:lvl w:ilvl="2" w15:tentative="1">
      <w:start w:val="1"/>
      <w:numFmt w:val="decimal"/>
      <w:lvlText w:val="%3."/>
      <w:lvlJc w:val="left"/>
      <w:pPr>
        <w:ind w:left="1080" w:hanging="360"/>
      </w:pPr>
    </w:lvl>
    <w:lvl w:ilvl="3" w15:tentative="1">
      <w:start w:val="1"/>
      <w:numFmt w:val="decimal"/>
      <w:lvlText w:val="%4."/>
      <w:lvlJc w:val="left"/>
      <w:pPr>
        <w:ind w:left="1440" w:hanging="360"/>
      </w:pPr>
    </w:lvl>
    <w:lvl w:ilvl="4" w15:tentative="1">
      <w:start w:val="1"/>
      <w:numFmt w:val="decimal"/>
      <w:lvlText w:val="%5."/>
      <w:lvlJc w:val="left"/>
      <w:pPr>
        <w:ind w:left="1800" w:hanging="360"/>
      </w:pPr>
    </w:lvl>
    <w:lvl w:ilvl="5" w15:tentative="1">
      <w:start w:val="1"/>
      <w:numFmt w:val="decimal"/>
      <w:lvlText w:val="%6."/>
      <w:lvlJc w:val="left"/>
      <w:pPr>
        <w:ind w:left="2160" w:hanging="360"/>
      </w:pPr>
    </w:lvl>
    <w:lvl w:ilvl="6" w15:tentative="1">
      <w:start w:val="1"/>
      <w:numFmt w:val="decimal"/>
      <w:lvlText w:val="%7."/>
      <w:lvlJc w:val="left"/>
      <w:pPr>
        <w:ind w:left="2520" w:hanging="360"/>
      </w:pPr>
    </w:lvl>
    <w:lvl w:ilvl="7" w15:tentative="1">
      <w:start w:val="1"/>
      <w:numFmt w:val="decimal"/>
      <w:lvlText w:val="%8."/>
      <w:lvlJc w:val="left"/>
      <w:pPr>
        <w:ind w:left="2880" w:hanging="360"/>
      </w:pPr>
    </w:lvl>
    <w:lvl w:ilvl="8" w15:tentative="1">
      <w:start w:val="1"/>
      <w:numFmt w:val="decimal"/>
      <w:lvlText w:val="%9."/>
      <w:lvlJc w:val="left"/>
      <w:pPr>
        <w:ind w:left="3240" w:hanging="360"/>
      </w:pPr>
    </w:lvl>
  </w:abstractNum>
  <w:abstractNum w:abstractNumId="3" w15:restartNumberingAfterBreak="0">
    <w:multiLevelType w:val="hybridMultilevel"/>
    <w:lvl w:ilvl="0" w15:tentative="1">
      <w:start w:val="1"/>
      <w:numFmt w:val="bullet"/>
      <w:lvlText w:val="•"/>
      <w:lvlJc w:val="left"/>
      <w:pPr>
        <w:ind w:left="360" w:hanging="360"/>
      </w:pPr>
    </w:lvl>
    <w:lvl w:ilvl="1" w15:tentative="1">
      <w:start w:val="1"/>
      <w:numFmt w:val="bullet"/>
      <w:lvlText w:val="•"/>
      <w:lvlJc w:val="left"/>
      <w:pPr>
        <w:ind w:left="720" w:hanging="360"/>
      </w:pPr>
    </w:lvl>
    <w:lvl w:ilvl="2" w15:tentative="1">
      <w:start w:val="1"/>
      <w:numFmt w:val="bullet"/>
      <w:lvlText w:val="•"/>
      <w:lvlJc w:val="left"/>
      <w:pPr>
        <w:ind w:left="1080" w:hanging="360"/>
      </w:pPr>
    </w:lvl>
    <w:lvl w:ilvl="3" w15:tentative="1">
      <w:start w:val="1"/>
      <w:numFmt w:val="bullet"/>
      <w:lvlText w:val="•"/>
      <w:lvlJc w:val="left"/>
      <w:pPr>
        <w:ind w:left="1440" w:hanging="360"/>
      </w:pPr>
    </w:lvl>
    <w:lvl w:ilvl="4" w15:tentative="1">
      <w:start w:val="1"/>
      <w:numFmt w:val="bullet"/>
      <w:lvlText w:val="•"/>
      <w:lvlJc w:val="left"/>
      <w:pPr>
        <w:ind w:left="1800" w:hanging="360"/>
      </w:pPr>
    </w:lvl>
    <w:lvl w:ilvl="5" w15:tentative="1">
      <w:start w:val="1"/>
      <w:numFmt w:val="bullet"/>
      <w:lvlText w:val="•"/>
      <w:lvlJc w:val="left"/>
      <w:pPr>
        <w:ind w:left="2160" w:hanging="360"/>
      </w:pPr>
    </w:lvl>
    <w:lvl w:ilvl="6" w15:tentative="1">
      <w:start w:val="1"/>
      <w:numFmt w:val="bullet"/>
      <w:lvlText w:val="•"/>
      <w:lvlJc w:val="left"/>
      <w:pPr>
        <w:ind w:left="2520" w:hanging="360"/>
      </w:pPr>
    </w:lvl>
    <w:lvl w:ilvl="7" w15:tentative="1">
      <w:start w:val="1"/>
      <w:numFmt w:val="bullet"/>
      <w:lvlText w:val="•"/>
      <w:lvlJc w:val="left"/>
      <w:pPr>
        <w:ind w:left="2880" w:hanging="360"/>
      </w:pPr>
    </w:lvl>
    <w:lvl w:ilvl="8" w15:tentative="1">
      <w:start w:val="1"/>
      <w:numFmt w:val="bullet"/>
      <w:lvlText w:val="•"/>
      <w:lvlJc w:val="left"/>
      <w:pPr>
        <w:ind w:left="32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defaultTabStop w:val="200"/>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B8"/>
    <w:pPr>
      <w:adjustRightInd w:val="0"/>
      <w:spacing w:before="45" w:after="45" w:line="360" w:lineRule="auto"/>
    </w:pPr>
    <w:rPr>
      <w:rFonts w:ascii="Inter" w:cs="Inter" w:eastAsia="Inter" w:hAnsi="Inter"/>
    </w:rPr>
  </w:style>
  <w:style w:type="paragraph" w:styleId="Heading1">
    <w:name w:val="heading 1"/>
    <w:basedOn w:val="Normal"/>
    <w:next w:val="Normal"/>
    <w:link w:val="Heading1Char"/>
    <w:uiPriority w:val="9"/>
    <w:rsid w:val="00D078F7"/>
    <w:pPr>
      <w:outlineLvl w:val="0"/>
    </w:pPr>
    <w:rPr>
      <w:b/>
      <w:sz w:val="48"/>
      <w:szCs w:val="48"/>
    </w:rPr>
  </w:style>
  <w:style w:type="paragraph" w:styleId="Heading2">
    <w:name w:val="heading 2"/>
    <w:basedOn w:val="Normal"/>
    <w:next w:val="Normal"/>
    <w:link w:val="Heading2Char"/>
    <w:uiPriority w:val="9"/>
    <w:semiHidden/>
    <w:unhideWhenUsed/>
    <w:rsid w:val="005B06B8"/>
    <w:pPr>
      <w:outlineLvl w:val="1"/>
    </w:pPr>
    <w:rPr>
      <w:b/>
      <w:sz w:val="36"/>
      <w:szCs w:val="36"/>
    </w:rPr>
  </w:style>
  <w:style w:type="paragraph" w:styleId="Heading3">
    <w:name w:val="heading 3"/>
    <w:basedOn w:val="Normal"/>
    <w:next w:val="Normal"/>
    <w:link w:val="Heading3Char"/>
    <w:uiPriority w:val="9"/>
    <w:semiHidden/>
    <w:unhideWhenUsed/>
    <w:qFormat/>
    <w:rsid w:val="005B06B8"/>
    <w:pPr>
      <w:outlineLvl w:val="2"/>
    </w:pPr>
    <w:rPr>
      <w:b/>
      <w:sz w:val="28"/>
      <w:szCs w:val="28"/>
    </w:rPr>
  </w:style>
  <w:style w:type="paragraph" w:styleId="Heading4">
    <w:name w:val="heading 4"/>
    <w:basedOn w:val="Normal"/>
    <w:next w:val="Normal"/>
    <w:link w:val="Heading4Char"/>
    <w:uiPriority w:val="9"/>
    <w:semiHidden/>
    <w:unhideWhenUsed/>
    <w:qFormat/>
    <w:rsid w:val="005B06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6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character" w:customStyle="1" w:styleId="VerbatimChar">
    <w:name w:val="Verbatim Char"/>
    <w:basedOn w:val="DefaultParagraphFont"/>
    <w:rPr>
      <w:rFonts w:ascii="GeistMono" w:cs="GeistMono" w:eastAsia="GeistMono" w:hAnsi="GeistMono"/>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8F7"/>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semiHidden/>
    <w:rsid w:val="005B06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6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6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6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6B8"/>
    <w:rPr>
      <w:rFonts w:eastAsiaTheme="majorEastAsia" w:cstheme="majorBidi"/>
      <w:color w:val="272727" w:themeColor="text1" w:themeTint="D8"/>
    </w:rPr>
  </w:style>
  <w:style w:type="paragraph" w:styleId="Title">
    <w:name w:val="Title"/>
    <w:basedOn w:val="Normal"/>
    <w:next w:val="Normal"/>
    <w:link w:val="TitleChar"/>
    <w:uiPriority w:val="10"/>
    <w:rsid w:val="005B0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6B8"/>
    <w:pPr>
      <w:spacing w:before="160"/>
      <w:jc w:val="center"/>
    </w:pPr>
    <w:rPr>
      <w:i/>
      <w:iCs/>
      <w:color w:val="404040" w:themeColor="text1" w:themeTint="BF"/>
    </w:rPr>
  </w:style>
  <w:style w:type="character" w:customStyle="1" w:styleId="QuoteChar">
    <w:name w:val="Quote Char"/>
    <w:basedOn w:val="DefaultParagraphFont"/>
    <w:link w:val="Quote"/>
    <w:uiPriority w:val="29"/>
    <w:rsid w:val="005B06B8"/>
    <w:rPr>
      <w:i/>
      <w:iCs/>
      <w:color w:val="404040" w:themeColor="text1" w:themeTint="BF"/>
    </w:rPr>
  </w:style>
  <w:style w:type="paragraph" w:styleId="ListParagraph">
    <w:name w:val="List Paragraph"/>
    <w:basedOn w:val="Normal"/>
    <w:uiPriority w:val="34"/>
    <w:qFormat/>
    <w:rsid w:val="005B06B8"/>
    <w:pPr>
      <w:ind w:left="720"/>
      <w:contextualSpacing/>
    </w:pPr>
  </w:style>
  <w:style w:type="character" w:styleId="IntenseEmphasis">
    <w:name w:val="Intense Emphasis"/>
    <w:basedOn w:val="DefaultParagraphFont"/>
    <w:uiPriority w:val="21"/>
    <w:qFormat/>
    <w:rsid w:val="005B06B8"/>
    <w:rPr>
      <w:i/>
      <w:iCs/>
      <w:color w:val="0F4761" w:themeColor="accent1" w:themeShade="BF"/>
    </w:rPr>
  </w:style>
  <w:style w:type="paragraph" w:styleId="IntenseQuote">
    <w:name w:val="Intense Quote"/>
    <w:basedOn w:val="Normal"/>
    <w:next w:val="Normal"/>
    <w:link w:val="IntenseQuoteChar"/>
    <w:uiPriority w:val="30"/>
    <w:qFormat/>
    <w:rsid w:val="005B0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6B8"/>
    <w:rPr>
      <w:i/>
      <w:iCs/>
      <w:color w:val="0F4761" w:themeColor="accent1" w:themeShade="BF"/>
    </w:rPr>
  </w:style>
  <w:style w:type="character" w:styleId="IntenseReference">
    <w:name w:val="Intense Reference"/>
    <w:basedOn w:val="DefaultParagraphFont"/>
    <w:uiPriority w:val="32"/>
    <w:qFormat/>
    <w:rsid w:val="005B06B8"/>
    <w:rPr>
      <w:b/>
      <w:bCs/>
      <w:smallCaps/>
      <w:color w:val="0F4761" w:themeColor="accent1" w:themeShade="BF"/>
      <w:spacing w:val="5"/>
    </w:rPr>
  </w:style>
  <w:style w:type="character" w:styleId="Hyperlink">
    <w:name w:val="Hyperlink"/>
    <w:basedOn w:val="DefaultParagraphFont"/>
    <w:uiPriority w:val="99"/>
    <w:unhideWhenUsed/>
    <w:rsid w:val="00F64863"/>
    <w:rPr>
      <w:color w:val="0000EF"/>
      <w:u w:val="single"/>
    </w:rPr>
  </w:style>
  <w:style w:type="character" w:styleId="UnresolvedMention">
    <w:name w:val="Unresolved Mention"/>
    <w:basedOn w:val="DefaultParagraphFont"/>
    <w:uiPriority w:val="99"/>
    <w:semiHidden/>
    <w:unhideWhenUsed/>
    <w:rsid w:val="00F64863"/>
    <w:rPr>
      <w:color w:val="605E5C"/>
      <w:shd w:val="clear" w:color="auto" w:fill="E1DFDD"/>
    </w:rPr>
  </w:style>
  <w:style w:type="paragraph" w:styleId="Caption">
    <w:name w:val="caption"/>
    <w:basedOn w:val="Normal"/>
    <w:next w:val="Normal"/>
    <w:uiPriority w:val="35"/>
    <w:unhideWhenUsed/>
    <w:qFormat/>
    <w:rsid w:val="00F64863"/>
    <w:pPr>
      <w:spacing w:before="0" w:after="200" w:line="240" w:lineRule="auto"/>
    </w:pPr>
    <w:rPr>
      <w:i/>
      <w:iCs/>
      <w:color w:val="0E2841" w:themeColor="text2"/>
      <w:sz w:val="18"/>
      <w:szCs w:val="18"/>
    </w:rPr>
  </w:style>
  <w:style w:type="paragraph" w:customStyle="1" w:styleId="SourceCode">
    <w:name w:val="Source Code"/>
    <w:basedOn w:val="Normal"/>
    <w:link w:val="VerbatimChar"/>
    <w:pPr>
      <w:shd w:val="solid" w:color="161616" w:fill="161616"/>
    </w:pPr>
    <w:rPr>
      <w:noProof/>
      <w:wordWrap w:val="off"/>
      <w:color w:val="ffffff"/>
      <w:rFonts w:ascii="GeistMono" w:cs="GeistMono" w:eastAsia="GeistMono" w:hAnsi="GeistMono"/>
    </w:rPr>
  </w:style>
  <w:style w:type="paragraph" w:styleId="BlockQuote">
    <w:name w:val="Block Quote"/>
    <w:basedOn w:val="Normal"/>
    <w:next w:val="Normal"/>
    <w:uiPriority w:val="9"/>
    <w:unhideWhenUsed/>
    <w:qFormat/>
    <w:pPr>
      <w:pBdr>
        <w:left w:val="single" w:color="7D797A" w:sz="8" w:space="100"/>
      </w:pBdr>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Relationship Id="rId1" Type="http://schemas.openxmlformats.org/officeDocument/2006/relationships/font" Target="fonts/Inter.odttf"/><Relationship Id="rId2" Type="http://schemas.openxmlformats.org/officeDocument/2006/relationships/font" Target="fonts/GeistMono.odttf"/></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2026-02-14T22:45:32.798Z</dcterms:created>
  <dcterms:modified xsi:type="dcterms:W3CDTF">2026-02-14T22:45:32.798Z</dcterms:modified>
</cp:coreProperties>
</file>

<file path=docProps/custom.xml><?xml version="1.0" encoding="utf-8"?>
<Properties xmlns="http://schemas.openxmlformats.org/officeDocument/2006/custom-properties" xmlns:vt="http://schemas.openxmlformats.org/officeDocument/2006/docPropsVTypes"/>
</file>